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55" w:rsidRDefault="001D5855">
      <w:pPr>
        <w:jc w:val="both"/>
        <w:rPr>
          <w:rFonts w:ascii="Arial" w:hAnsi="Arial"/>
        </w:rPr>
      </w:pPr>
    </w:p>
    <w:p w:rsidR="001D5855" w:rsidRDefault="001D5855">
      <w:pPr>
        <w:jc w:val="both"/>
        <w:rPr>
          <w:rFonts w:ascii="Arial" w:hAnsi="Arial"/>
          <w:b/>
        </w:rPr>
      </w:pPr>
      <w:r>
        <w:rPr>
          <w:rFonts w:ascii="Arial" w:hAnsi="Arial"/>
        </w:rPr>
        <w:t xml:space="preserve">If a </w:t>
      </w:r>
      <w:proofErr w:type="gramStart"/>
      <w:r>
        <w:rPr>
          <w:rFonts w:ascii="Arial" w:hAnsi="Arial"/>
        </w:rPr>
        <w:t>particular State</w:t>
      </w:r>
      <w:proofErr w:type="gramEnd"/>
      <w:r>
        <w:rPr>
          <w:rFonts w:ascii="Arial" w:hAnsi="Arial"/>
        </w:rPr>
        <w:t xml:space="preserve"> does not appear on this list of authorized changes, it is because Freddie Mac does not currently have any state-specific authorized changes for that state.  In addition, the changes set forth on these Authorized Change Pages may not be the only changes required under applicable law or state and local recording requirements with respect to a specific loan originator or loan transaction. </w:t>
      </w:r>
      <w:r>
        <w:rPr>
          <w:rFonts w:ascii="Arial" w:hAnsi="Arial"/>
          <w:b/>
        </w:rPr>
        <w:t>Accordingly, originators should have qualified legal counsel review loan documentation for compliance with applicable law.</w:t>
      </w:r>
    </w:p>
    <w:p w:rsidR="001D5855" w:rsidRDefault="001D5855">
      <w:pPr>
        <w:jc w:val="both"/>
        <w:rPr>
          <w:rFonts w:ascii="Arial" w:hAnsi="Arial"/>
        </w:rPr>
      </w:pPr>
    </w:p>
    <w:p w:rsidR="001D5855" w:rsidRDefault="001D5855">
      <w:pPr>
        <w:jc w:val="both"/>
        <w:rPr>
          <w:rFonts w:ascii="Arial" w:hAnsi="Arial"/>
        </w:rPr>
      </w:pPr>
      <w:r>
        <w:rPr>
          <w:rFonts w:ascii="Arial" w:hAnsi="Arial"/>
        </w:rPr>
        <w:t xml:space="preserve">The changes authorized by Freddie Mac can also be found in Exhibit 5 of the Freddie Mac </w:t>
      </w:r>
      <w:r>
        <w:rPr>
          <w:rFonts w:ascii="Arial" w:hAnsi="Arial"/>
          <w:i/>
        </w:rPr>
        <w:t>Single-Family Seller/Servicer Guide</w:t>
      </w:r>
      <w:r>
        <w:rPr>
          <w:rFonts w:ascii="Arial" w:hAnsi="Arial"/>
        </w:rPr>
        <w:t>.</w:t>
      </w:r>
    </w:p>
    <w:p w:rsidR="009140B7" w:rsidRDefault="009140B7">
      <w:pPr>
        <w:jc w:val="both"/>
        <w:rPr>
          <w:rFonts w:ascii="Arial" w:hAnsi="Arial"/>
          <w:b/>
        </w:rPr>
      </w:pPr>
    </w:p>
    <w:p w:rsidR="003726AD" w:rsidRDefault="003726AD">
      <w:pPr>
        <w:jc w:val="both"/>
        <w:rPr>
          <w:rFonts w:ascii="Arial" w:hAnsi="Arial"/>
        </w:rPr>
      </w:pPr>
    </w:p>
    <w:p w:rsidR="003726AD" w:rsidRDefault="003726AD">
      <w:pPr>
        <w:jc w:val="both"/>
        <w:rPr>
          <w:rFonts w:ascii="Arial" w:hAnsi="Arial"/>
        </w:rPr>
      </w:pPr>
    </w:p>
    <w:p w:rsidR="003726AD" w:rsidRDefault="003726AD" w:rsidP="003726AD">
      <w:pPr>
        <w:pStyle w:val="Heading1"/>
        <w:pBdr>
          <w:top w:val="single" w:sz="12" w:space="1" w:color="auto"/>
        </w:pBdr>
        <w:shd w:val="clear" w:color="auto" w:fill="FFFFFF"/>
        <w:spacing w:after="180"/>
        <w:jc w:val="center"/>
        <w:rPr>
          <w:caps/>
          <w:sz w:val="28"/>
        </w:rPr>
      </w:pPr>
      <w:r>
        <w:rPr>
          <w:sz w:val="28"/>
        </w:rPr>
        <w:t>GENERAL AUTHORIZED CHANGES</w:t>
      </w:r>
    </w:p>
    <w:p w:rsidR="003726AD" w:rsidRDefault="003726AD">
      <w:pPr>
        <w:jc w:val="both"/>
        <w:rPr>
          <w:rFonts w:ascii="Arial" w:hAnsi="Arial"/>
        </w:rPr>
      </w:pPr>
    </w:p>
    <w:p w:rsidR="003726AD" w:rsidRDefault="003726AD">
      <w:pPr>
        <w:jc w:val="both"/>
        <w:rPr>
          <w:rFonts w:ascii="Arial" w:hAnsi="Arial"/>
        </w:rPr>
      </w:pPr>
      <w:r>
        <w:rPr>
          <w:rFonts w:ascii="Arial" w:hAnsi="Arial"/>
        </w:rPr>
        <w:t xml:space="preserve">Originators may use the Demographic Information Addendum with the URLA, </w:t>
      </w:r>
      <w:r w:rsidR="00DA604D">
        <w:rPr>
          <w:rFonts w:ascii="Arial" w:hAnsi="Arial"/>
        </w:rPr>
        <w:t>(</w:t>
      </w:r>
      <w:r w:rsidR="006071EA">
        <w:rPr>
          <w:rFonts w:ascii="Arial" w:hAnsi="Arial"/>
        </w:rPr>
        <w:t xml:space="preserve">Form 65/1003, </w:t>
      </w:r>
      <w:r>
        <w:rPr>
          <w:rFonts w:ascii="Arial" w:hAnsi="Arial"/>
        </w:rPr>
        <w:t>7/05 (rev. 06/0</w:t>
      </w:r>
      <w:r w:rsidR="006071EA">
        <w:rPr>
          <w:rFonts w:ascii="Arial" w:hAnsi="Arial"/>
        </w:rPr>
        <w:t>9</w:t>
      </w:r>
      <w:r>
        <w:rPr>
          <w:rFonts w:ascii="Arial" w:hAnsi="Arial"/>
        </w:rPr>
        <w:t>)</w:t>
      </w:r>
      <w:r w:rsidR="00DA604D">
        <w:rPr>
          <w:rFonts w:ascii="Arial" w:hAnsi="Arial"/>
        </w:rPr>
        <w:t>)</w:t>
      </w:r>
      <w:r>
        <w:rPr>
          <w:rFonts w:ascii="Arial" w:hAnsi="Arial"/>
        </w:rPr>
        <w:t xml:space="preserve"> as a replacement for the existing Section X, Information </w:t>
      </w:r>
      <w:proofErr w:type="gramStart"/>
      <w:r>
        <w:rPr>
          <w:rFonts w:ascii="Arial" w:hAnsi="Arial"/>
        </w:rPr>
        <w:t>For</w:t>
      </w:r>
      <w:proofErr w:type="gramEnd"/>
      <w:r w:rsidR="004E56A1">
        <w:rPr>
          <w:rFonts w:ascii="Arial" w:hAnsi="Arial"/>
        </w:rPr>
        <w:t xml:space="preserve"> </w:t>
      </w:r>
      <w:r>
        <w:rPr>
          <w:rFonts w:ascii="Arial" w:hAnsi="Arial"/>
        </w:rPr>
        <w:t>Government Monitoring Purposes.  If the Demogr</w:t>
      </w:r>
      <w:r w:rsidR="0000203D">
        <w:rPr>
          <w:rFonts w:ascii="Arial" w:hAnsi="Arial"/>
        </w:rPr>
        <w:t>aphic Information Addendum is used, Section X of the URLA may be left blank, crossed or grayed out or otherwise deleted.</w:t>
      </w:r>
    </w:p>
    <w:p w:rsidR="0000203D" w:rsidRDefault="0000203D">
      <w:pPr>
        <w:jc w:val="both"/>
        <w:rPr>
          <w:rFonts w:ascii="Arial" w:hAnsi="Arial"/>
        </w:rPr>
      </w:pPr>
    </w:p>
    <w:p w:rsidR="0000203D" w:rsidRDefault="0000203D">
      <w:pPr>
        <w:jc w:val="both"/>
        <w:rPr>
          <w:rFonts w:ascii="Arial" w:hAnsi="Arial"/>
        </w:rPr>
      </w:pPr>
      <w:r>
        <w:rPr>
          <w:rFonts w:ascii="Arial" w:hAnsi="Arial"/>
        </w:rPr>
        <w:t>Originators may use the Spanish translation aid for the Dem</w:t>
      </w:r>
      <w:r w:rsidR="006071EA">
        <w:rPr>
          <w:rFonts w:ascii="Arial" w:hAnsi="Arial"/>
        </w:rPr>
        <w:t>ographic Addendum with</w:t>
      </w:r>
      <w:r w:rsidR="004E56A1">
        <w:rPr>
          <w:rFonts w:ascii="Arial" w:hAnsi="Arial"/>
        </w:rPr>
        <w:t xml:space="preserve"> </w:t>
      </w:r>
      <w:r w:rsidR="006071EA">
        <w:rPr>
          <w:rFonts w:ascii="Arial" w:hAnsi="Arial"/>
        </w:rPr>
        <w:t xml:space="preserve">Form 65s/1003s </w:t>
      </w:r>
      <w:r w:rsidR="001E0585">
        <w:rPr>
          <w:rFonts w:ascii="Arial" w:hAnsi="Arial"/>
        </w:rPr>
        <w:t xml:space="preserve">7/05 (rev. 6/09)) </w:t>
      </w:r>
      <w:r w:rsidR="006071EA">
        <w:rPr>
          <w:rFonts w:ascii="Arial" w:hAnsi="Arial"/>
        </w:rPr>
        <w:t>(Spanish-English) version of the URLA</w:t>
      </w:r>
      <w:r w:rsidR="00B6027E">
        <w:rPr>
          <w:rFonts w:ascii="Arial" w:hAnsi="Arial"/>
        </w:rPr>
        <w:t>.</w:t>
      </w:r>
      <w:bookmarkStart w:id="0" w:name="_GoBack"/>
      <w:bookmarkEnd w:id="0"/>
    </w:p>
    <w:p w:rsidR="003726AD" w:rsidRDefault="003726AD">
      <w:pPr>
        <w:jc w:val="both"/>
        <w:rPr>
          <w:rFonts w:ascii="Arial" w:hAnsi="Arial"/>
        </w:rPr>
      </w:pPr>
    </w:p>
    <w:p w:rsidR="001D5855" w:rsidRDefault="001D5855">
      <w:pPr>
        <w:jc w:val="both"/>
        <w:rPr>
          <w:rFonts w:ascii="Arial" w:hAnsi="Arial"/>
        </w:rPr>
      </w:pPr>
    </w:p>
    <w:p w:rsidR="001D5855" w:rsidRDefault="001D5855">
      <w:pPr>
        <w:pStyle w:val="Heading1"/>
        <w:pBdr>
          <w:top w:val="single" w:sz="12" w:space="1" w:color="auto"/>
        </w:pBdr>
        <w:shd w:val="clear" w:color="auto" w:fill="FFFFFF"/>
        <w:spacing w:after="180"/>
        <w:jc w:val="center"/>
        <w:rPr>
          <w:caps/>
          <w:sz w:val="28"/>
        </w:rPr>
      </w:pPr>
      <w:r>
        <w:rPr>
          <w:sz w:val="28"/>
        </w:rPr>
        <w:t>STATE-SPECIFIC AUTHORIZED CHANGES</w:t>
      </w:r>
    </w:p>
    <w:p w:rsidR="001D5855" w:rsidRDefault="001D5855">
      <w:pPr>
        <w:pStyle w:val="ExhibitHead2LTOP"/>
        <w:tabs>
          <w:tab w:val="clear" w:pos="864"/>
        </w:tabs>
        <w:ind w:left="0" w:right="0" w:firstLine="0"/>
        <w:rPr>
          <w:rStyle w:val="t2799"/>
          <w:rFonts w:ascii="Arial" w:hAnsi="Arial"/>
          <w:sz w:val="28"/>
          <w:u w:val="single"/>
        </w:rPr>
      </w:pPr>
      <w:r>
        <w:rPr>
          <w:rStyle w:val="t2799"/>
          <w:rFonts w:ascii="Arial" w:hAnsi="Arial"/>
          <w:sz w:val="28"/>
          <w:u w:val="single"/>
        </w:rPr>
        <w:t>California</w:t>
      </w:r>
    </w:p>
    <w:p w:rsidR="001D5855" w:rsidRDefault="001D5855">
      <w:pPr>
        <w:pStyle w:val="ExhibitHead2LTOP"/>
        <w:rPr>
          <w:rStyle w:val="t2799"/>
        </w:rPr>
      </w:pPr>
      <w:r>
        <w:rPr>
          <w:rStyle w:val="t2799"/>
        </w:rPr>
        <w:t>Originators may include the following in any convenient location:</w:t>
      </w:r>
    </w:p>
    <w:p w:rsidR="001D5855" w:rsidRDefault="001D5855">
      <w:pPr>
        <w:pStyle w:val="BodyText"/>
        <w:rPr>
          <w:rStyle w:val="t2799"/>
          <w:rFonts w:ascii="Arial" w:hAnsi="Arial"/>
        </w:rPr>
      </w:pPr>
      <w:r>
        <w:rPr>
          <w:rStyle w:val="t2799"/>
        </w:rPr>
        <w:tab/>
      </w:r>
      <w:r>
        <w:rPr>
          <w:rStyle w:val="t2799"/>
          <w:rFonts w:ascii="Arial" w:hAnsi="Arial"/>
        </w:rPr>
        <w:t xml:space="preserve">“Pursuant to California Civil Code 1812.30(j) a married applicant may apply for a </w:t>
      </w:r>
      <w:r>
        <w:rPr>
          <w:rStyle w:val="t2799"/>
          <w:rFonts w:ascii="Arial" w:hAnsi="Arial"/>
        </w:rPr>
        <w:tab/>
        <w:t>separate account”</w:t>
      </w:r>
    </w:p>
    <w:p w:rsidR="001D5855" w:rsidRDefault="001D5855">
      <w:pPr>
        <w:pStyle w:val="BodyText"/>
        <w:rPr>
          <w:rStyle w:val="t2799"/>
          <w:rFonts w:ascii="Arial" w:hAnsi="Arial"/>
        </w:rPr>
      </w:pPr>
    </w:p>
    <w:p w:rsidR="001D5855" w:rsidRDefault="001D5855">
      <w:pPr>
        <w:pStyle w:val="BodyText"/>
        <w:ind w:left="360"/>
        <w:rPr>
          <w:rStyle w:val="t2792"/>
          <w:rFonts w:ascii="Arial" w:hAnsi="Arial"/>
        </w:rPr>
      </w:pPr>
      <w:r>
        <w:rPr>
          <w:rStyle w:val="t2792"/>
          <w:rFonts w:ascii="Arial" w:hAnsi="Arial"/>
        </w:rPr>
        <w:t xml:space="preserve">AND, Originators may revise the description of the "Married" box in Section III for Borrowers and Co-Borrowers as follows: </w:t>
      </w:r>
    </w:p>
    <w:p w:rsidR="001D5855" w:rsidRDefault="001D5855">
      <w:pPr>
        <w:pStyle w:val="BodyText"/>
        <w:rPr>
          <w:rStyle w:val="t2792"/>
          <w:rFonts w:ascii="Arial" w:hAnsi="Arial"/>
        </w:rPr>
      </w:pPr>
    </w:p>
    <w:p w:rsidR="001D5855" w:rsidRDefault="001D5855">
      <w:pPr>
        <w:pStyle w:val="BodyText"/>
        <w:ind w:left="720"/>
        <w:rPr>
          <w:rStyle w:val="t2792"/>
          <w:rFonts w:ascii="Arial" w:hAnsi="Arial"/>
        </w:rPr>
      </w:pPr>
      <w:r>
        <w:rPr>
          <w:rStyle w:val="t2792"/>
          <w:rFonts w:ascii="Arial" w:hAnsi="Arial"/>
        </w:rPr>
        <w:t xml:space="preserve">Section III.  Borrower Information </w:t>
      </w:r>
    </w:p>
    <w:p w:rsidR="001D5855" w:rsidRDefault="001D5855">
      <w:pPr>
        <w:pStyle w:val="BodyText"/>
        <w:ind w:left="720"/>
        <w:rPr>
          <w:rStyle w:val="t2792"/>
          <w:rFonts w:ascii="Arial" w:hAnsi="Arial"/>
        </w:rPr>
      </w:pPr>
    </w:p>
    <w:p w:rsidR="001D5855" w:rsidRDefault="001D5855">
      <w:pPr>
        <w:pStyle w:val="BodyText"/>
        <w:ind w:left="720"/>
        <w:rPr>
          <w:rStyle w:val="t2792"/>
          <w:rFonts w:ascii="Arial" w:hAnsi="Arial"/>
        </w:rPr>
      </w:pPr>
      <w:proofErr w:type="gramStart"/>
      <w:r>
        <w:rPr>
          <w:rStyle w:val="t2792"/>
          <w:rFonts w:ascii="Arial" w:hAnsi="Arial"/>
        </w:rPr>
        <w:t>[  ]</w:t>
      </w:r>
      <w:proofErr w:type="gramEnd"/>
      <w:r>
        <w:rPr>
          <w:rStyle w:val="t2792"/>
          <w:rFonts w:ascii="Arial" w:hAnsi="Arial"/>
        </w:rPr>
        <w:t xml:space="preserve"> Married                                </w:t>
      </w:r>
      <w:r>
        <w:rPr>
          <w:rStyle w:val="t2792"/>
          <w:rFonts w:ascii="Arial" w:hAnsi="Arial"/>
        </w:rPr>
        <w:tab/>
      </w:r>
      <w:r>
        <w:rPr>
          <w:rStyle w:val="t2792"/>
          <w:rFonts w:ascii="Arial" w:hAnsi="Arial"/>
        </w:rPr>
        <w:tab/>
        <w:t xml:space="preserve">[  ] Separated </w:t>
      </w:r>
    </w:p>
    <w:p w:rsidR="001D5855" w:rsidRDefault="001D5855">
      <w:pPr>
        <w:pStyle w:val="BodyText"/>
        <w:ind w:left="720"/>
        <w:rPr>
          <w:rStyle w:val="t2792"/>
          <w:rFonts w:ascii="Arial" w:hAnsi="Arial"/>
        </w:rPr>
      </w:pPr>
      <w:r>
        <w:rPr>
          <w:rStyle w:val="t2792"/>
          <w:rFonts w:ascii="Arial" w:hAnsi="Arial"/>
        </w:rPr>
        <w:t xml:space="preserve">(include registered domestic partners) </w:t>
      </w:r>
    </w:p>
    <w:p w:rsidR="001D5855" w:rsidRDefault="001D5855">
      <w:pPr>
        <w:pStyle w:val="BodyText"/>
        <w:ind w:left="720"/>
        <w:rPr>
          <w:rStyle w:val="t2792"/>
          <w:rFonts w:ascii="Arial" w:hAnsi="Arial"/>
        </w:rPr>
      </w:pPr>
    </w:p>
    <w:p w:rsidR="001D5855" w:rsidRDefault="001D5855">
      <w:pPr>
        <w:pStyle w:val="BodyText"/>
        <w:ind w:left="720"/>
        <w:rPr>
          <w:rStyle w:val="t2792"/>
          <w:rFonts w:ascii="Arial" w:hAnsi="Arial"/>
        </w:rPr>
      </w:pPr>
      <w:proofErr w:type="gramStart"/>
      <w:r>
        <w:rPr>
          <w:rStyle w:val="t2792"/>
          <w:rFonts w:ascii="Arial" w:hAnsi="Arial"/>
        </w:rPr>
        <w:t>[  ]</w:t>
      </w:r>
      <w:proofErr w:type="gramEnd"/>
      <w:r>
        <w:rPr>
          <w:rStyle w:val="t2792"/>
          <w:rFonts w:ascii="Arial" w:hAnsi="Arial"/>
        </w:rPr>
        <w:t xml:space="preserve"> Unmarried </w:t>
      </w:r>
    </w:p>
    <w:p w:rsidR="001D5855" w:rsidRDefault="001D5855">
      <w:pPr>
        <w:pStyle w:val="BodyText"/>
        <w:ind w:left="720"/>
        <w:rPr>
          <w:rStyle w:val="t2792"/>
          <w:rFonts w:ascii="Arial" w:hAnsi="Arial"/>
        </w:rPr>
      </w:pPr>
      <w:r>
        <w:rPr>
          <w:rStyle w:val="t2792"/>
          <w:rFonts w:ascii="Arial" w:hAnsi="Arial"/>
        </w:rPr>
        <w:t>(include single, divorced, widowed)</w:t>
      </w:r>
    </w:p>
    <w:sectPr w:rsidR="001D5855">
      <w:headerReference w:type="default" r:id="rId7"/>
      <w:footerReference w:type="default" r:id="rId8"/>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DB" w:rsidRDefault="008B08DB">
      <w:r>
        <w:separator/>
      </w:r>
    </w:p>
  </w:endnote>
  <w:endnote w:type="continuationSeparator" w:id="0">
    <w:p w:rsidR="008B08DB" w:rsidRDefault="008B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55" w:rsidRDefault="001D5855">
    <w:pPr>
      <w:pStyle w:val="Footer"/>
      <w:tabs>
        <w:tab w:val="clear" w:pos="8640"/>
        <w:tab w:val="right" w:pos="9348"/>
      </w:tabs>
      <w:rPr>
        <w:rFonts w:ascii="Arial" w:hAnsi="Arial"/>
        <w:b/>
        <w:sz w:val="18"/>
      </w:rPr>
    </w:pPr>
    <w:r>
      <w:rPr>
        <w:rFonts w:ascii="Arial" w:hAnsi="Arial"/>
        <w:b/>
        <w:sz w:val="18"/>
      </w:rPr>
      <w:t xml:space="preserve">Updated:  </w:t>
    </w:r>
    <w:r w:rsidR="006071EA">
      <w:rPr>
        <w:rFonts w:ascii="Arial" w:hAnsi="Arial"/>
        <w:b/>
        <w:sz w:val="18"/>
      </w:rPr>
      <w:t>June</w:t>
    </w:r>
    <w:r>
      <w:rPr>
        <w:rFonts w:ascii="Arial" w:hAnsi="Arial"/>
        <w:b/>
        <w:sz w:val="18"/>
      </w:rPr>
      <w:t xml:space="preserve"> 20</w:t>
    </w:r>
    <w:r w:rsidR="006071EA">
      <w:rPr>
        <w:rFonts w:ascii="Arial" w:hAnsi="Arial"/>
        <w:b/>
        <w:sz w:val="18"/>
      </w:rPr>
      <w:t>19</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1</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DB" w:rsidRDefault="008B08DB">
      <w:r>
        <w:separator/>
      </w:r>
    </w:p>
  </w:footnote>
  <w:footnote w:type="continuationSeparator" w:id="0">
    <w:p w:rsidR="008B08DB" w:rsidRDefault="008B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55" w:rsidRDefault="001D5855">
    <w:pPr>
      <w:pStyle w:val="Header"/>
      <w:jc w:val="center"/>
      <w:rPr>
        <w:rFonts w:ascii="Arial" w:hAnsi="Arial"/>
        <w:b/>
        <w:sz w:val="32"/>
      </w:rPr>
    </w:pPr>
    <w:r>
      <w:rPr>
        <w:rFonts w:ascii="Arial" w:hAnsi="Arial"/>
        <w:b/>
        <w:sz w:val="32"/>
      </w:rPr>
      <w:t>Federal Home Loan Mortgage Corporation</w:t>
    </w:r>
  </w:p>
  <w:p w:rsidR="001D5855" w:rsidRDefault="001D5855">
    <w:pPr>
      <w:pStyle w:val="Header"/>
      <w:jc w:val="center"/>
      <w:rPr>
        <w:rFonts w:ascii="Arial" w:hAnsi="Arial"/>
        <w:b/>
        <w:sz w:val="32"/>
      </w:rPr>
    </w:pPr>
    <w:r>
      <w:rPr>
        <w:rFonts w:ascii="Arial" w:hAnsi="Arial"/>
        <w:b/>
        <w:sz w:val="32"/>
      </w:rPr>
      <w:t>Authorized Changes for Uniform Residential Loan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6AD"/>
    <w:rsid w:val="0000203D"/>
    <w:rsid w:val="00173186"/>
    <w:rsid w:val="001D5855"/>
    <w:rsid w:val="001E0585"/>
    <w:rsid w:val="002D6E1B"/>
    <w:rsid w:val="003726AD"/>
    <w:rsid w:val="004E56A1"/>
    <w:rsid w:val="006071EA"/>
    <w:rsid w:val="008B08DB"/>
    <w:rsid w:val="009140B7"/>
    <w:rsid w:val="00A7602D"/>
    <w:rsid w:val="00A97EAE"/>
    <w:rsid w:val="00B37C4F"/>
    <w:rsid w:val="00B6027E"/>
    <w:rsid w:val="00DA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64DDC5"/>
  <w15:chartTrackingRefBased/>
  <w15:docId w15:val="{EE34CBD4-D7AB-47B0-8432-5F108D9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bottom w:val="single" w:sz="12" w:space="1" w:color="auto"/>
      </w:pBdr>
      <w:outlineLvl w:val="0"/>
    </w:pPr>
    <w:rPr>
      <w:rFonts w:ascii="Arial" w:hAnsi="Arial"/>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bottom w:val="single" w:sz="12" w:space="1" w:color="auto"/>
      </w:pBdr>
      <w:tabs>
        <w:tab w:val="left" w:pos="720"/>
      </w:tabs>
      <w:jc w:val="center"/>
      <w:outlineLvl w:val="2"/>
    </w:pPr>
    <w:rPr>
      <w:rFonts w:ascii="Arial" w:hAnsi="Arial"/>
      <w:b/>
    </w:rPr>
  </w:style>
  <w:style w:type="paragraph" w:styleId="Heading4">
    <w:name w:val="heading 4"/>
    <w:basedOn w:val="Normal"/>
    <w:next w:val="Normal"/>
    <w:qFormat/>
    <w:pPr>
      <w:keepNext/>
      <w:pBdr>
        <w:bottom w:val="single" w:sz="12" w:space="1" w:color="auto"/>
      </w:pBdr>
      <w:tabs>
        <w:tab w:val="left" w:pos="720"/>
      </w:tabs>
      <w:spacing w:after="120"/>
      <w:ind w:right="720"/>
      <w:jc w:val="center"/>
      <w:outlineLvl w:val="3"/>
    </w:pPr>
    <w:rPr>
      <w:rFonts w:ascii="Arial" w:hAnsi="Arial"/>
      <w:b/>
      <w:cap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tabs>
        <w:tab w:val="left" w:pos="720"/>
      </w:tabs>
      <w:ind w:left="432"/>
      <w:jc w:val="both"/>
      <w:outlineLvl w:val="6"/>
    </w:pPr>
    <w:rPr>
      <w:rFonts w:ascii="Arial" w:hAnsi="Arial"/>
      <w:b/>
      <w:sz w:val="22"/>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spacing w:before="120"/>
      <w:ind w:left="720" w:right="720"/>
      <w:jc w:val="center"/>
      <w:outlineLvl w:val="8"/>
    </w:pPr>
    <w:rPr>
      <w:b/>
      <w:cap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t2795">
    <w:name w:val="t2795"/>
  </w:style>
  <w:style w:type="character" w:customStyle="1" w:styleId="t2792">
    <w:name w:val="t2792"/>
  </w:style>
  <w:style w:type="character" w:styleId="PageNumber">
    <w:name w:val="page number"/>
    <w:semiHidden/>
  </w:style>
  <w:style w:type="paragraph" w:styleId="BodyText2">
    <w:name w:val="Body Text 2"/>
    <w:basedOn w:val="Normal"/>
    <w:pPr>
      <w:jc w:val="both"/>
    </w:pPr>
    <w:rPr>
      <w:sz w:val="22"/>
    </w:rPr>
  </w:style>
  <w:style w:type="paragraph" w:styleId="BodyTextIndent3">
    <w:name w:val="Body Text Indent 3"/>
    <w:basedOn w:val="Normal"/>
    <w:pPr>
      <w:tabs>
        <w:tab w:val="left" w:pos="720"/>
      </w:tabs>
      <w:ind w:left="432"/>
      <w:jc w:val="both"/>
    </w:pPr>
  </w:style>
  <w:style w:type="paragraph" w:styleId="BlockText">
    <w:name w:val="Block Text"/>
    <w:basedOn w:val="Normal"/>
    <w:pPr>
      <w:tabs>
        <w:tab w:val="left" w:pos="720"/>
      </w:tabs>
      <w:spacing w:before="120"/>
      <w:ind w:left="720" w:right="720"/>
      <w:jc w:val="both"/>
    </w:pPr>
    <w:rPr>
      <w:rFonts w:ascii="Arial" w:hAnsi="Arial"/>
    </w:rPr>
  </w:style>
  <w:style w:type="character" w:customStyle="1" w:styleId="t3401">
    <w:name w:val="t3401"/>
  </w:style>
  <w:style w:type="paragraph" w:styleId="BodyText">
    <w:name w:val="Body Text"/>
    <w:basedOn w:val="Normal"/>
    <w:semiHidden/>
    <w:pPr>
      <w:jc w:val="both"/>
    </w:pPr>
  </w:style>
  <w:style w:type="character" w:customStyle="1" w:styleId="t2799">
    <w:name w:val="t2799"/>
  </w:style>
  <w:style w:type="paragraph" w:styleId="BodyText3">
    <w:name w:val="Body Text 3"/>
    <w:basedOn w:val="Normal"/>
    <w:pPr>
      <w:tabs>
        <w:tab w:val="left" w:pos="720"/>
      </w:tabs>
      <w:ind w:right="720"/>
      <w:jc w:val="both"/>
    </w:pPr>
    <w:rPr>
      <w:rFonts w:ascii="Arial" w:hAnsi="Arial"/>
      <w:b/>
      <w:i/>
      <w:sz w:val="18"/>
    </w:rPr>
  </w:style>
  <w:style w:type="paragraph" w:customStyle="1" w:styleId="ExhibitHead2LTOP">
    <w:name w:val="ExhibitHead2LTOP"/>
    <w:basedOn w:val="Normal"/>
    <w:pPr>
      <w:keepNext/>
      <w:tabs>
        <w:tab w:val="left" w:pos="864"/>
      </w:tabs>
      <w:spacing w:before="160" w:after="160"/>
      <w:ind w:left="864" w:right="360" w:hanging="504"/>
      <w:jc w:val="both"/>
    </w:pPr>
    <w:rPr>
      <w:rFonts w:ascii="Helvetica" w:hAnsi="Helvetica"/>
      <w:b/>
      <w:caps/>
      <w:noProof/>
      <w:color w:val="000000"/>
      <w:sz w:val="22"/>
    </w:rPr>
  </w:style>
  <w:style w:type="paragraph" w:styleId="BalloonText">
    <w:name w:val="Balloon Text"/>
    <w:basedOn w:val="Normal"/>
    <w:link w:val="BalloonTextChar"/>
    <w:uiPriority w:val="99"/>
    <w:semiHidden/>
    <w:unhideWhenUsed/>
    <w:rsid w:val="00B3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53B03-5EA8-4559-8DAE-E5E13F73A703}">
  <ds:schemaRefs>
    <ds:schemaRef ds:uri="http://schemas.openxmlformats.org/officeDocument/2006/bibliography"/>
  </ds:schemaRefs>
</ds:datastoreItem>
</file>

<file path=customXml/itemProps2.xml><?xml version="1.0" encoding="utf-8"?>
<ds:datastoreItem xmlns:ds="http://schemas.openxmlformats.org/officeDocument/2006/customXml" ds:itemID="{DE3341EC-37EE-4D27-A885-27EC85B830F2}"/>
</file>

<file path=customXml/itemProps3.xml><?xml version="1.0" encoding="utf-8"?>
<ds:datastoreItem xmlns:ds="http://schemas.openxmlformats.org/officeDocument/2006/customXml" ds:itemID="{0D5D8F66-9FD1-4A9D-A8FA-A187D9BA8F89}"/>
</file>

<file path=customXml/itemProps4.xml><?xml version="1.0" encoding="utf-8"?>
<ds:datastoreItem xmlns:ds="http://schemas.openxmlformats.org/officeDocument/2006/customXml" ds:itemID="{0635BE9A-AF49-49D1-905E-7259F7184523}"/>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Authorized Changes for Uniform Residential Loan Application</vt:lpstr>
    </vt:vector>
  </TitlesOfParts>
  <Company>Federal Home Loan Mortgage Corporation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Changes for Uniform Residential Loan Application</dc:title>
  <dc:subject>Single Family Uniform Instruments</dc:subject>
  <dc:creator>Legal Division - Single Family</dc:creator>
  <cp:keywords>uniform residential loan application, URLA, authorized changes</cp:keywords>
  <dc:description>List of Authorized Changes to Freddie Mac distributed Uniform Residential Loan Application - Updated: March 8, 2006</dc:description>
  <cp:lastModifiedBy>RAYNELLE  BROOKS</cp:lastModifiedBy>
  <cp:revision>2</cp:revision>
  <cp:lastPrinted>2019-05-22T12:29:00Z</cp:lastPrinted>
  <dcterms:created xsi:type="dcterms:W3CDTF">2019-06-03T15:04:00Z</dcterms:created>
  <dcterms:modified xsi:type="dcterms:W3CDTF">2019-06-03T15:04:00Z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41cbdf2a-a1c8-4a20-a756-28ad83ca192a</vt:lpwstr>
  </property>
</Properties>
</file>